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474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2"/>
        <w:gridCol w:w="5960"/>
      </w:tblGrid>
      <w:tr>
        <w:trPr/>
        <w:tc>
          <w:tcPr>
            <w:tcW w:w="8782" w:type="dxa"/>
            <w:tcBorders/>
          </w:tcPr>
          <w:p>
            <w:pPr>
              <w:pStyle w:val="Style36"/>
              <w:widowControl w:val="false"/>
              <w:tabs>
                <w:tab w:val="clear" w:pos="708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60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6174" w:leader="none"/>
                <w:tab w:val="left" w:pos="12758" w:leader="none"/>
                <w:tab w:val="left" w:pos="13041" w:leader="none"/>
                <w:tab w:val="left" w:pos="13608" w:leader="none"/>
              </w:tabs>
              <w:spacing w:lineRule="auto" w:line="240"/>
              <w:ind w:left="6237" w:right="0" w:hanging="6861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>
        <w:trPr/>
        <w:tc>
          <w:tcPr>
            <w:tcW w:w="8782" w:type="dxa"/>
            <w:tcBorders/>
          </w:tcPr>
          <w:p>
            <w:pPr>
              <w:pStyle w:val="Style36"/>
              <w:widowControl w:val="false"/>
              <w:tabs>
                <w:tab w:val="clear" w:pos="708"/>
              </w:tabs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6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                                                                                                    Семилукского муниципального                                                                                                     района</w:t>
            </w:r>
          </w:p>
        </w:tc>
      </w:tr>
      <w:tr>
        <w:trPr>
          <w:trHeight w:val="354" w:hRule="atLeast"/>
        </w:trPr>
        <w:tc>
          <w:tcPr>
            <w:tcW w:w="8782" w:type="dxa"/>
            <w:tcBorders/>
          </w:tcPr>
          <w:p>
            <w:pPr>
              <w:pStyle w:val="Style36"/>
              <w:widowControl w:val="false"/>
              <w:tabs>
                <w:tab w:val="clear" w:pos="708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6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11. 06. 2024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реализации Стратегии государственной политики Российской Федерации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отношении российского казачества на 2021-2030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b/>
          <w:bCs/>
          <w:i w:val="false"/>
          <w:color w:val="000000"/>
          <w:sz w:val="28"/>
          <w:szCs w:val="28"/>
        </w:rPr>
        <w:t xml:space="preserve">Семилукского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Воронежской области в 2024-2026 годах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a3"/>
        <w:tblW w:w="156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3357"/>
        <w:gridCol w:w="1417"/>
        <w:gridCol w:w="2836"/>
        <w:gridCol w:w="2998"/>
        <w:gridCol w:w="2248"/>
        <w:gridCol w:w="2154"/>
      </w:tblGrid>
      <w:tr>
        <w:trPr>
          <w:tblHeader w:val="true"/>
        </w:trPr>
        <w:tc>
          <w:tcPr>
            <w:tcW w:w="6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57" w:type="dxa"/>
            <w:tcBorders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исполнения</w:t>
            </w:r>
          </w:p>
        </w:tc>
        <w:tc>
          <w:tcPr>
            <w:tcW w:w="283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Ответственный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исполнитель</w:t>
            </w:r>
          </w:p>
        </w:tc>
        <w:tc>
          <w:tcPr>
            <w:tcW w:w="299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Направление реализации задачи Стратегии</w:t>
            </w:r>
          </w:p>
        </w:tc>
        <w:tc>
          <w:tcPr>
            <w:tcW w:w="224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Целевой показатель</w:t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Документ, подтверждающий исполнение</w:t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010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                  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I. Совершенствование механизма привлечения членов казачьих обществ к несению государственной или иной службы</w:t>
            </w:r>
          </w:p>
          <w:p>
            <w:pPr>
              <w:pStyle w:val="Normal"/>
              <w:widowControl w:val="false"/>
              <w:suppressAutoHyphens w:val="true"/>
              <w:spacing w:lineRule="exact" w:line="12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tabs>
                <w:tab w:val="clear" w:pos="708"/>
                <w:tab w:val="left" w:pos="3000" w:leader="none"/>
              </w:tabs>
              <w:suppressAutoHyphens w:val="true"/>
              <w:spacing w:before="0" w:after="0"/>
              <w:ind w:left="0" w:right="-108" w:hanging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Разработка и принятие нормативных правовых актов   администрации Семилукского муниципального района и органов местного самоуправления городских и сельских поселений  Семилукского муниципального района </w:t>
            </w: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tabs>
                <w:tab w:val="clear" w:pos="708"/>
                <w:tab w:val="left" w:pos="3000" w:leader="none"/>
              </w:tabs>
              <w:suppressAutoHyphens w:val="true"/>
              <w:spacing w:before="0" w:after="0"/>
              <w:ind w:left="0" w:right="-108" w:hanging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органы местного самоуправления городских и сельских поселений  Семилукского муниципального района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разработанных нормативных правовых актов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нормативные правовые акты администрации Семилукского муниципального района и органов местного самоуправления городских и сельских поселений  Семилукского муниципального района </w:t>
            </w: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Организация и проведение</w:t>
            </w:r>
          </w:p>
          <w:p>
            <w:pPr>
              <w:pStyle w:val="Default"/>
              <w:widowControl w:val="false"/>
              <w:tabs>
                <w:tab w:val="clear" w:pos="708"/>
                <w:tab w:val="left" w:pos="3000" w:leader="none"/>
              </w:tabs>
              <w:suppressAutoHyphens w:val="true"/>
              <w:spacing w:before="0" w:after="0"/>
              <w:ind w:left="0" w:right="-108" w:hanging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мероприятий, связанных с подготовкой и проведением призыва членов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  <w:p>
            <w:pPr>
              <w:pStyle w:val="Default"/>
              <w:widowControl w:val="false"/>
              <w:tabs>
                <w:tab w:val="clear" w:pos="708"/>
                <w:tab w:val="left" w:pos="3000" w:leader="none"/>
              </w:tabs>
              <w:suppressAutoHyphens w:val="true"/>
              <w:spacing w:before="0" w:after="0"/>
              <w:ind w:left="0" w:right="884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военный комиссариат Семилукского района Воронежской области,</w:t>
            </w: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администрация Семилукского муниципального района, органы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Семилукское хуторское </w:t>
            </w: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казачье общество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количество членов казачьих обществ,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военный комиссариат Семилукского района Воронежской области,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Семилукское хуторское казачье общество «Хутор Николаевский»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 участии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администрации Семилукского муниципального района, органов местного самоуправления городских и сельских поселений  Семилукского муниципального района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количество членов казачьих обществ,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4.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Проведение мероприятий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 вопросам военно- патриотического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воспитания казачьей молодежи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(мероприятия указаны в разделе </w:t>
            </w:r>
            <w:r>
              <w:rPr>
                <w:rFonts w:eastAsia="Calibri"/>
                <w:kern w:val="0"/>
                <w:sz w:val="23"/>
                <w:szCs w:val="23"/>
                <w:lang w:val="en-US" w:eastAsia="en-US" w:bidi="ar-SA"/>
              </w:rPr>
              <w:t>III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Плана)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отдел по образованию и опеке администрации Семилукского муниципального района,</w:t>
            </w:r>
          </w:p>
          <w:p>
            <w:pPr>
              <w:pStyle w:val="ConsPlusNormal1"/>
              <w:widowControl w:val="false"/>
              <w:jc w:val="left"/>
              <w:rPr>
                <w:sz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органы местного самоуправления городских и сельских поселений  Семилукского муниципального района  при участии казачьего общества «Хутор Николаевский»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иных объединений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проведенных мероприятий;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5.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администрация Семилукского муниципального района, органы местного самоуправления городских и сельских поселений  Семилукского муниципального района при участии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Семилукского хуторского </w:t>
            </w: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казачьего общества «Хутор Николаевский»,  </w:t>
            </w: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МОВО по Семилукскому району - филиала ФГКУ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«Управление вневедомственной охраны войск Национальной Гвардии Российской Федерации по Воронежской области»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привлекаемых для прохождения военной службы в войска национальной гвардии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6.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военный комиссариат Семилукского района Воронежской области при участии </w:t>
            </w:r>
            <w:r>
              <w:rPr>
                <w:rFonts w:eastAsia="Calibri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7.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постановлением Правительства Российской Федерации от 26 февраля 2010 г. №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en-US" w:eastAsia="en-US" w:bidi="ar-SA"/>
              </w:rPr>
              <w:t xml:space="preserve">IV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квартал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заинтересованных    органов местного самоуправления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городских и сельских поселений  Семилукского муниципального района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охране общественного порядка;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защите государственной границы Российской Федерации;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мероприятиях по гражданской обороне;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в обеспечении пожарной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в охране объектов культурного наследия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привлекаемых   органами местного самоуправления муниципальных образований к государственной или иной службе российского казачества (по каждому виду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службы)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8.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полиция по охране общественного порядка ОМВД России по Семилукскому району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администрации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заключенных договоров (соглашений)  казачьих обществ с органами местного самоуправления муниципальных образований;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количество членов войсковых казачьих обществ, привлеченных к охране общественного порядка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9.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участию в защите государственной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0" w:right="0" w:hanging="1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границы Российской Федерации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-10" w:right="0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Пограничное управление УФСБ России по  Воронежской области при участии при участии администрации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ind w:left="12" w:right="0" w:hanging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 казачьих обществ, участвующих в защите государственной границы Российской Федерации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154" w:right="0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10.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участию в мероприятиях по гражданской обороне в соответствии с принятыми членами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войсковых казачьих обществ обязательствами по несению службы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ГУ МЧС России по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сектора по ГО и ЧС администрации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привлеченных к участию в мероприятиях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11.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ГУ МЧС России по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 xml:space="preserve">при участии сектора по ГО и ЧС администрации </w:t>
            </w:r>
            <w:r>
              <w:rPr>
                <w:rFonts w:eastAsia="Calibri"/>
                <w:b w:val="false"/>
                <w:bCs w:val="false"/>
                <w:kern w:val="0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39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2707" w:hRule="atLeast"/>
        </w:trPr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12.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ГУ МЧС России по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сектора по ГО и ЧС администрации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13.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обществ, входящих в состав добровольной пожарной охраны, к отработке совместных действий с пожарно - спасательными подразделениями при проведении пожарно- тактических учений и занятий в рамках пожарно - спасательных гарнизонов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ГУ МЧС России по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сектора по ГО и ЧС администрации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привлеченных к отработке совместных действий с пожарно- спасательными подразделениями при проведении пожарно- тактических учений и занятий в рамках пожарно- спасательных гарнизонов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14.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 совместно с министерством природных ресурсов и экологии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заинтересованных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органов местного самоуправления городских и сельских поселений 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15622" w:type="dxa"/>
            <w:gridSpan w:val="7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II. Поддержка взаимодействия между казачьими обществами и иными объединениями казаков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15.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Участие во Всероссийском семинаре-совещании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«Российское казачество» 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администрация Семилукского муниципального района  при участии отдела по образованию и опеке администрации Семилукского муниципального района,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семинара- совещания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16.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Всемирном конгрессе казаков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2026 год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 С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конгресса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17.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 методических семинарах, организованных Всероссийским казачьим обществом, по вопросам участия казачьих обществ в конкурсах для получения грантов в сфере образования и культуры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 С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количество участников семинаров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18.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 семинарах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 сирот и детей, оставшихся без попечения родителей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администрация Семилукского муниципального района при участии отдела по образованию и опеке администрации Семилукского муниципального района,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семинаров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19.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подпункте "в" пункта 2 Указа Президента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от 3 апреля 2023 г. №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иные объединения казаков при участии филиала Государственного фонда поддержки участников специальной военной операции «Защитники Отечества» по Воронежской области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обращений от членов казачьих обществ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20.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иные объединения казаков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при участии администрации </w:t>
            </w:r>
            <w:r>
              <w:rPr>
                <w:rFonts w:eastAsia="Calibri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органов местного самоуправления городских и сельских поселений  Семилукского муниципального района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которым оказана помощь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21.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иные объединения казаков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при участии администрации </w:t>
            </w:r>
            <w:r>
              <w:rPr>
                <w:rFonts w:eastAsia="Calibri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заинтересованных  органов местного самоуправления городских и сельских поселений  Семилукского муниципального района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tbl>
            <w:tblPr>
              <w:tblW w:w="19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96"/>
            </w:tblGrid>
            <w:tr>
              <w:trPr>
                <w:trHeight w:val="437" w:hRule="atLeast"/>
              </w:trPr>
              <w:tc>
                <w:tcPr>
                  <w:tcW w:w="199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3"/>
                      <w:szCs w:val="23"/>
                    </w:rPr>
                    <w:t>количество семей казаков, которым оказана помощь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15622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III. Содействие воспитанию подрастающего поколения в духе патриотизма, гражданской ответственности и готовности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 служению Отечеству с опорой на духовно-нравственные основы и ценности российского казачества,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обеспечение участия российского казачества в реализации государственной молодежной политики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2917" w:hRule="atLeast"/>
        </w:trPr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22.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Обеспечение информационной и методической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администрация Семилукского муниципального района,  отдел по образованию и опеке администрации Семилукского муниципального района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поддержка деятельности образовательных организаций, реализующих образовательные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программы с учетом культурно - исторических традиций и ценностей российского казачества, в том числе деятельности по подготовке педагогических кадров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проведенных мероприятий,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 ежегодной международной научно - практической конференции «Казачество на службе Отечеству»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конференции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24.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Привлечение казачьей молодежи и членов войсковых казачьих обществ к проведению молодежно- патриотической акции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«День призывника»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военный комиссариат Семилукского района 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(по согласованию) 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емилукского хуторского казачьего общества «Хутор Николаевский»,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проведение мероприятий, направленных на повышение престижа государственной службы среди казачьей молодежи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tbl>
            <w:tblPr>
              <w:tblW w:w="213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38"/>
            </w:tblGrid>
            <w:tr>
              <w:trPr>
                <w:trHeight w:val="851" w:hRule="atLeast"/>
              </w:trPr>
              <w:tc>
                <w:tcPr>
                  <w:tcW w:w="213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3"/>
                      <w:szCs w:val="23"/>
                    </w:rPr>
                    <w:t>количество членов войсковых казачьих обществ, привлеченных к проведению акции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25.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Всероссийской военно-спортивной игре «Казачий сполох»  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«Готов к труду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обороне»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военно - спортивной игры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26.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Участие воспитанников казачьего военно-патриотического клуба «Ватага» в областных физкультурных и спортивных мероприятиях (по заявке):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открытый турнир по тактической стрельбе,   посвященный Дню защитника Отечества;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открытая военно-спортивная игра «Казачья вьюга»;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военно-спортивное мероприятие «Казачий Спас»;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открытая спартакиада допризывной казачьей молодежи памяти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Свиридова Е.С.;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стрелковое двоеборье, посвященное Дню Победы в Великой Отечественной войне 1941-1945 годов;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3"/>
                <w:szCs w:val="23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первенство Воронежской области по спортивному метанию ножа  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отдел по образованию и опеке администрации Семилукского муниципального района, МКУ «Управление культуры, спорта и молодежной политики Семилукского муниципального района Воронежской области»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«Готов к труду и обороне»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проведенных мероприятий;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27.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Всероссийском слете казачьей молодежи «Готов к труду и обороне» 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отдел по образованию и опеке администрации Семилукского муниципального района, МКУ «Управление культуры, спорта и молодежной политики Семилукского муниципального района Воронежской области»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слета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28.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Всероссийской спартакиаде допризывной казачьей молодежи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отдел по образованию и опеке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_____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участников спартакиады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29.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всероссийских научно-практических конференциях по изучению истории российского казачества разных периодов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отдел по образованию и опеке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конференций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30.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Проведение Митрофановских церковно-исторических чтений – регионального этапа в рамках Международных образовательных Рождественских чтений 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отдел по взаимодействию с казачеством Воронежской Митрополии,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риход Свято-Митрофановского храма г.Семилуки Воронежской области Воронежской Епархии Русской православной церкви (Московский патриархат)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администрации Семилукского муниципального района, отдела по образованию и опеке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31.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 международной научно-практической конференции «Церковь и казачество: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соработничество на благо Отечества» в рамках Международных образовательных Рождественских чтений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отдел по взаимодействию с казачеством Воронежской Митрополии,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риход Свято-Митрофановского храма г.Семилуки Воронежской области Воронежской Епархии Русской православной церкви (Московский патриархат)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администрации Семилукского муниципального района, отдела по образованию и опеке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конференции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32.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 Евразийском форуме казачьей молодежи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«Казачье единство»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отдел по взаимодействию с казачеством Воронежской Митрополии,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риход Свято-Митрофановского храма г.Семилуки Воронежской области Воронежской Епархии Русской православной церкви (Московский патриархат)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администрации Семилукского муниципального района, отдела по образованию и опеке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личностному и профессиональному развитию руководителей и лидеров казачьих молодежных организаций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форума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33.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 xml:space="preserve">Оказание содействия участию казачьих обществ и иных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образований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администрация </w:t>
            </w:r>
            <w:r>
              <w:rPr>
                <w:rFonts w:eastAsia="Calibri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 xml:space="preserve"> Семилукского муниципального района, органы местного самоуправления городских и сельских поселений 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казачьих обществ и иных объединений казаков к участию в конкурсах 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проведенных мероприятий,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shd w:fill="FFFFFF" w:val="clear"/>
                <w:lang w:val="ru-RU" w:eastAsia="en-US" w:bidi="ar-SA"/>
              </w:rPr>
              <w:t>34.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/>
                <w:kern w:val="0"/>
                <w:sz w:val="23"/>
                <w:szCs w:val="23"/>
                <w:shd w:fill="FFFFFF" w:val="clear"/>
                <w:lang w:val="ru-RU" w:eastAsia="en-US" w:bidi="ar-SA"/>
              </w:rPr>
              <w:t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FFFFFF" w:val="clear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района, отдел по образованию и опеке администрации Семилукского муниципального района,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емилукское хуторское казачье общество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иные объединения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Участие во Всероссийском форуме (слете) казачьей молодежи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отдел по образованию и опеке администрации Семилукского муниципального района, МКУ «Управление культуры, спорта и молодежной политики Семилукского муниципального района Воронежской области»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 администрация Семилукского муниципального района,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exact" w:line="12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форума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15622" w:type="dxa"/>
            <w:gridSpan w:val="7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IV. Содействие сохранению и развитию культуры российского казачества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36.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Участие во Всероссийском фольклорном конкурсе «Казачий круг» </w:t>
            </w:r>
            <w:r>
              <w:rPr>
                <w:rFonts w:eastAsia="Calibri" w:cs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МКУ «Управление культуры, спорта и молодежной политики Семилукского муниципального района Воронежской области» при участии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администрации Семилукского муниципального района,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района,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поддержка деятельности, направленной на сохранение и развитие казачьей культуры, в том числе деятельности по проведению фестивалей,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конкурсов, семинаров - практикумов, мастер 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 конкурса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37.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Поддержка мероприятий  в сфере культуры российского казачества: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открытый конкурс казачьей культуры «Воронежская застава» (онлайн)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Всероссийский фестиваль казачьего творчества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«Казачье братство»;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- открытый фестиваль казачьей культуры «Ямное – слобода казачья»;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- открытый фестиваль-конкурс казачьей песни и танца «Казачий Дон» имени Тихона Аскоченского </w:t>
            </w:r>
            <w:r>
              <w:rPr>
                <w:rFonts w:eastAsia="Calibri" w:cs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март- апрель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август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2025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октябрь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0" w:hang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ноябрь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МКУ «Управление культуры, спорта и молодежной политики Семилукского муниципального района Воронежской области» при участии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администрации Семилукского муниципального района,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района,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 - 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проведенных мероприятий;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количество участников мероприятий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38.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Привлечение творческих казачьих коллективов и исполнителей к участию в культурно-просветительских проектах, информационно- агитационных акциях и других мероприятиях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МКУ «Управление культуры, спорта и молодежной политики Семилукского муниципального района Воронежской области» при участии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администрации Семилукского муниципального района,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района,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содействие расширению участия творческих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казачьих коллективов в мероприятиях,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направленных 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86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39.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Участие в международном фестивале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«Казачья станица Москва» </w:t>
            </w:r>
            <w:r>
              <w:rPr>
                <w:rFonts w:eastAsia="Calibri" w:cs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(при наличии приглашения)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администрация Семилукского муниципального района при участии  МКУ «Управление культуры, спорта и молодежной политики Семилукского муниципального района Воронежской области»,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района,</w:t>
            </w: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 xml:space="preserve"> С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 агитационных акциях и других мероприятиях</w:t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участников,   принявших участие в международном фестивале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15622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V. Поддержка социально-экономического развития российского казачества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40.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Воронежской области</w:t>
            </w:r>
          </w:p>
          <w:p>
            <w:pPr>
              <w:pStyle w:val="Default"/>
              <w:widowControl w:val="false"/>
              <w:suppressAutoHyphens w:val="true"/>
              <w:spacing w:lineRule="exact" w:line="20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МКУ «Центр поддержки АПК Семилукского муниципального района Воронежской области»,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отдел экономического развития администрации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при участии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администрации Семилукского муниципального района,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членов казачьих обществ, получивших информационную поддержку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41.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Оказание содействия в обеспечении участия предприятий (хозяйствующих субъектов) казачьих обществ в Российской агропромышленной выставке "Золотая осень" (при наличии)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ежегодно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МКУ «Центр поддержки АПК Семилукского муниципального района Воронежской области»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 xml:space="preserve">при участии </w:t>
            </w: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администрации Семилукского муниципального района</w:t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предприятий (хозяйствующих субъектов) казачьих обществ, принявших участие в выставке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42.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Содействие привлечению частных охранных организаций, учрежденных войсковым казачьим обществам «Центральное казачье войско», к обеспечению охраны объектов социальной сферы различных форм собственности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 участии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частных охранных организаций, учрежденных войсковыми казачьими обществами, привлеченных к обеспечению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охраны объектов социальной сферы различных форм собственности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  <w:tr>
        <w:trPr/>
        <w:tc>
          <w:tcPr>
            <w:tcW w:w="15622" w:type="dxa"/>
            <w:gridSpan w:val="7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VI. Совершенствование информационного обеспечения взаимодействия органов государственной власти и органов местного самоуправления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 казачьими обществами, расширение информирования общественности о деятельности российского казачества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3971" w:hRule="atLeast"/>
        </w:trPr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43.</w:t>
            </w:r>
          </w:p>
        </w:tc>
        <w:tc>
          <w:tcPr>
            <w:tcW w:w="3357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Информационное сопровождение реализации Стратегии государственной политики Российской Федерации в отношении российского казачества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на 2021 - 2030 годы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val="ru-RU" w:eastAsia="en-US" w:bidi="ar-SA"/>
              </w:rPr>
              <w:t>администрация Семилукского муниципального района во взаимодействии со СМИ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при участии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органов местного самоуправления городских и сельских поселений  Семилукского муниципального района, С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емилукского хуторского казачьего общества «Хутор Николаевский»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3"/>
                <w:szCs w:val="23"/>
                <w:lang w:val="ru-RU" w:eastAsia="en-US" w:bidi="ar-SA"/>
              </w:rPr>
              <w:t>и иных объединений казаков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299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48" w:type="dxa"/>
            <w:tcBorders>
              <w:top w:val="nil"/>
              <w:right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количество публикаций в средствах массовой информации и информационно- телекоммуника-ционной сети "Интернет"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информация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 министерство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внутренней политики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ru-RU" w:eastAsia="en-US" w:bidi="ar-SA"/>
              </w:rPr>
              <w:t>Воронежской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spacing w:lineRule="exact" w:line="12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</w:t>
      </w:r>
    </w:p>
    <w:sectPr>
      <w:headerReference w:type="default" r:id="rId2"/>
      <w:type w:val="nextPage"/>
      <w:pgSz w:orient="landscape" w:w="16838" w:h="11906"/>
      <w:pgMar w:left="1134" w:right="397" w:gutter="0" w:header="709" w:top="1701" w:footer="0" w:bottom="68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94191149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e532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de532d"/>
    <w:rPr/>
  </w:style>
  <w:style w:type="character" w:styleId="WW8Num1z0">
    <w:name w:val="WW8Num1z0"/>
    <w:qFormat/>
    <w:rPr>
      <w:rFonts w:eastAsia="Times New Roman"/>
    </w:rPr>
  </w:style>
  <w:style w:type="character" w:styleId="Style16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28"/>
      <w:szCs w:val="24"/>
      <w:lang w:val="ru-RU" w:bidi="ar-SA"/>
    </w:rPr>
  </w:style>
  <w:style w:type="character" w:styleId="Style17">
    <w:name w:val="Основной текст Знак"/>
    <w:qFormat/>
    <w:rPr>
      <w:sz w:val="24"/>
    </w:rPr>
  </w:style>
  <w:style w:type="character" w:styleId="Style18">
    <w:name w:val="Основной текст с отступом Знак"/>
    <w:qFormat/>
    <w:rPr>
      <w:sz w:val="32"/>
    </w:rPr>
  </w:style>
  <w:style w:type="character" w:styleId="31">
    <w:name w:val="Основной текст 3 Знак"/>
    <w:qFormat/>
    <w:rPr>
      <w:sz w:val="28"/>
    </w:rPr>
  </w:style>
  <w:style w:type="character" w:styleId="A">
    <w:name w:val="a Знак"/>
    <w:qFormat/>
    <w:rPr>
      <w:sz w:val="24"/>
      <w:szCs w:val="24"/>
    </w:rPr>
  </w:style>
  <w:style w:type="character" w:styleId="2">
    <w:name w:val="Основной текст 2 Знак"/>
    <w:qFormat/>
    <w:rPr>
      <w:sz w:val="32"/>
    </w:rPr>
  </w:style>
  <w:style w:type="character" w:styleId="5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1">
    <w:name w:val="Основной текст с отступом 2 Знак"/>
    <w:qFormat/>
    <w:rPr>
      <w:sz w:val="24"/>
      <w:szCs w:val="24"/>
    </w:rPr>
  </w:style>
  <w:style w:type="character" w:styleId="32">
    <w:name w:val="Заголовок 3 Знак"/>
    <w:qFormat/>
    <w:rPr>
      <w:b/>
      <w:bCs/>
      <w:spacing w:val="60"/>
      <w:kern w:val="2"/>
      <w:sz w:val="30"/>
      <w:szCs w:val="24"/>
    </w:rPr>
  </w:style>
  <w:style w:type="character" w:styleId="Style19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22">
    <w:name w:val="Основной текст (2)_"/>
    <w:qFormat/>
    <w:rPr>
      <w:sz w:val="28"/>
      <w:szCs w:val="28"/>
      <w:shd w:fill="FFFFFF" w:val="clear"/>
    </w:rPr>
  </w:style>
  <w:style w:type="character" w:styleId="FootnoteCharacters">
    <w:name w:val="Footnote Characters"/>
    <w:qFormat/>
    <w:rPr>
      <w:vertAlign w:val="superscript"/>
    </w:rPr>
  </w:style>
  <w:style w:type="character" w:styleId="Style20">
    <w:name w:val="Текст выноски Знак"/>
    <w:qFormat/>
    <w:rPr>
      <w:rFonts w:ascii="Tahoma" w:hAnsi="Tahoma" w:eastAsia="Times New Roman" w:cs="Mangal"/>
      <w:color w:val="000000"/>
      <w:sz w:val="16"/>
      <w:szCs w:val="14"/>
    </w:rPr>
  </w:style>
  <w:style w:type="character" w:styleId="1">
    <w:name w:val="Заголовок 1 Знак"/>
    <w:qFormat/>
    <w:rPr>
      <w:rFonts w:ascii="Calibri Light" w:hAnsi="Calibri Light" w:eastAsia="0" w:cs="Mangal"/>
      <w:b/>
      <w:bCs/>
      <w:color w:val="2F5496"/>
      <w:sz w:val="28"/>
      <w:szCs w:val="25"/>
    </w:rPr>
  </w:style>
  <w:style w:type="character" w:styleId="WW8Num2z0">
    <w:name w:val="WW8Num2z0"/>
    <w:qFormat/>
    <w:rPr>
      <w:b w:val="false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 w:val="false"/>
      <w:color w:val="000000"/>
    </w:rPr>
  </w:style>
  <w:style w:type="character" w:styleId="WW8Num5z0">
    <w:name w:val="WW8Num5z0"/>
    <w:qFormat/>
    <w:rPr>
      <w:b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Style21">
    <w:name w:val="Название Знак"/>
    <w:qFormat/>
    <w:rPr>
      <w:rFonts w:ascii="Arial" w:hAnsi="Arial" w:cs="Arial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30c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uiPriority w:val="99"/>
    <w:unhideWhenUsed/>
    <w:rsid w:val="00de53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5"/>
    <w:uiPriority w:val="99"/>
    <w:unhideWhenUsed/>
    <w:rsid w:val="00de53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 w:customStyle="1">
    <w:name w:val="ConsPlusNormal"/>
    <w:qFormat/>
    <w:rsid w:val="0002418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23">
    <w:name w:val="Основной текст 2"/>
    <w:basedOn w:val="Normal"/>
    <w:qFormat/>
    <w:pPr>
      <w:jc w:val="both"/>
    </w:pPr>
    <w:rPr>
      <w:sz w:val="32"/>
      <w:szCs w:val="20"/>
    </w:rPr>
  </w:style>
  <w:style w:type="paragraph" w:styleId="33">
    <w:name w:val="Основной текст 3"/>
    <w:basedOn w:val="Normal"/>
    <w:qFormat/>
    <w:pPr>
      <w:jc w:val="both"/>
    </w:pPr>
    <w:rPr>
      <w:sz w:val="28"/>
      <w:szCs w:val="20"/>
    </w:rPr>
  </w:style>
  <w:style w:type="paragraph" w:styleId="34">
    <w:name w:val="Основной текст с отступом 3"/>
    <w:basedOn w:val="Normal"/>
    <w:qFormat/>
    <w:pPr>
      <w:spacing w:lineRule="atLeast" w:line="360"/>
      <w:ind w:firstLine="709"/>
      <w:jc w:val="both"/>
    </w:pPr>
    <w:rPr>
      <w:sz w:val="28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31">
    <w:name w:val="Цитата"/>
    <w:basedOn w:val="Normal"/>
    <w:qFormat/>
    <w:pPr>
      <w:ind w:left="142" w:right="141" w:hanging="0"/>
      <w:jc w:val="both"/>
    </w:pPr>
    <w:rPr>
      <w:sz w:val="28"/>
      <w:szCs w:val="20"/>
    </w:rPr>
  </w:style>
  <w:style w:type="paragraph" w:styleId="Style32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A1">
    <w:name w:val="a"/>
    <w:basedOn w:val="Normal"/>
    <w:qFormat/>
    <w:pPr>
      <w:spacing w:before="100" w:after="100"/>
    </w:pPr>
    <w:rPr/>
  </w:style>
  <w:style w:type="paragraph" w:styleId="Style33">
    <w:name w:val="Обычный (веб)"/>
    <w:basedOn w:val="Normal"/>
    <w:qFormat/>
    <w:pPr>
      <w:spacing w:before="100" w:after="100"/>
    </w:pPr>
    <w:rPr/>
  </w:style>
  <w:style w:type="paragraph" w:styleId="Style34">
    <w:name w:val="Абзац списка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35">
    <w:name w:val="Заголовок к тексту"/>
    <w:basedOn w:val="Normal"/>
    <w:qFormat/>
    <w:pPr>
      <w:spacing w:lineRule="exact" w:line="240" w:before="0" w:after="480"/>
    </w:pPr>
    <w:rPr>
      <w:b/>
      <w:sz w:val="28"/>
      <w:szCs w:val="20"/>
    </w:rPr>
  </w:style>
  <w:style w:type="paragraph" w:styleId="25">
    <w:name w:val="Основной текст (2)"/>
    <w:basedOn w:val="Normal"/>
    <w:qFormat/>
    <w:pPr>
      <w:widowControl w:val="false"/>
      <w:shd w:fill="FFFFFF"/>
      <w:spacing w:lineRule="exact" w:line="322" w:before="300" w:after="0"/>
    </w:pPr>
    <w:rPr>
      <w:sz w:val="28"/>
      <w:szCs w:val="28"/>
    </w:rPr>
  </w:style>
  <w:style w:type="paragraph" w:styleId="11">
    <w:name w:val="Заголовок 11"/>
    <w:qFormat/>
    <w:pPr>
      <w:keepNext w:val="true"/>
      <w:widowControl/>
      <w:suppressAutoHyphens w:val="true"/>
      <w:bidi w:val="0"/>
      <w:spacing w:lineRule="auto" w:line="276" w:before="0" w:after="0"/>
      <w:jc w:val="center"/>
      <w:textAlignment w:val="baseline"/>
    </w:pPr>
    <w:rPr>
      <w:rFonts w:ascii="Calibri" w:hAnsi="Calibri" w:eastAsia="Calibri" w:cs="" w:asciiTheme="minorHAnsi" w:cstheme="minorBidi" w:eastAsiaTheme="minorHAnsi" w:hAnsiTheme="minorHAnsi"/>
      <w:b/>
      <w:color w:val="auto"/>
      <w:spacing w:val="20"/>
      <w:kern w:val="0"/>
      <w:sz w:val="22"/>
      <w:szCs w:val="22"/>
      <w:lang w:val="ru-RU" w:eastAsia="en-US" w:bidi="ar-SA"/>
    </w:rPr>
  </w:style>
  <w:style w:type="paragraph" w:styleId="12">
    <w:name w:val="Заголовок1"/>
    <w:qFormat/>
    <w:pPr>
      <w:keepNext w:val="true"/>
      <w:widowControl/>
      <w:suppressAutoHyphens w:val="true"/>
      <w:bidi w:val="0"/>
      <w:spacing w:lineRule="auto" w:line="276" w:before="240" w:after="120"/>
      <w:jc w:val="left"/>
      <w:textAlignment w:val="baseline"/>
    </w:pPr>
    <w:rPr>
      <w:rFonts w:ascii="Liberation Sans" w:hAnsi="Liberation Sans" w:eastAsia="Microsoft YaHei" w:cs="" w:cstheme="minorBidi"/>
      <w:color w:val="auto"/>
      <w:kern w:val="0"/>
      <w:sz w:val="28"/>
      <w:szCs w:val="28"/>
      <w:lang w:val="ru-RU" w:eastAsia="en-US" w:bidi="ar-SA"/>
    </w:rPr>
  </w:style>
  <w:style w:type="paragraph" w:styleId="13">
    <w:name w:val="Название объекта1"/>
    <w:basedOn w:val="Normal"/>
    <w:qFormat/>
    <w:pPr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14">
    <w:name w:val="Указатель1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Caption">
    <w:name w:val="caption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Liberation Serif" w:hAnsi="Liberation Serif" w:eastAsia="NSimSun" w:cs="Arial"/>
      <w:i/>
      <w:iCs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5">
    <w:name w:val="Верхний колонтитул1"/>
    <w:qFormat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6">
    <w:name w:val="Нижний колонтитул1"/>
    <w:qFormat/>
    <w:pPr>
      <w:widowControl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6">
    <w:name w:val="Верхний колонтитул2"/>
    <w:qFormat/>
    <w:pPr>
      <w:widowControl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36">
    <w:name w:val="Содержимое таблицы"/>
    <w:basedOn w:val="Normal"/>
    <w:qFormat/>
    <w:pPr>
      <w:widowControl w:val="false"/>
      <w:suppressLineNumbers/>
    </w:pPr>
    <w:rPr/>
  </w:style>
  <w:style w:type="paragraph" w:styleId="111">
    <w:name w:val="Знак1 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c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FBF9-E9A2-4182-8835-A6D16235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Application>LibreOffice/7.5.9.2$Windows_X86_64 LibreOffice_project/cdeefe45c17511d326101eed8008ac4092f278a9</Application>
  <AppVersion>15.0000</AppVersion>
  <Pages>26</Pages>
  <Words>3849</Words>
  <Characters>31014</Characters>
  <CharactersWithSpaces>34828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asafronov</dc:creator>
  <dc:description/>
  <dc:language>ru-RU</dc:language>
  <cp:lastModifiedBy/>
  <dcterms:modified xsi:type="dcterms:W3CDTF">2024-06-17T15:31:31Z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